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C4848" w14:textId="77777777" w:rsidR="00CB50ED" w:rsidRDefault="000C7EE7">
      <w:pPr>
        <w:pStyle w:val="Body"/>
        <w:jc w:val="center"/>
      </w:pPr>
      <w:r>
        <w:rPr>
          <w:rFonts w:ascii="Arial" w:hAnsi="Arial" w:cs="Arial"/>
          <w:b/>
          <w:szCs w:val="24"/>
        </w:rPr>
        <w:t>WESTERN STATES SEISMIC POLICY COUNCIL</w:t>
      </w:r>
    </w:p>
    <w:p w14:paraId="13AC4849" w14:textId="4C9D5855" w:rsidR="00CB50ED" w:rsidRDefault="009447E3">
      <w:pPr>
        <w:pStyle w:val="Body"/>
        <w:jc w:val="center"/>
      </w:pPr>
      <w:r>
        <w:rPr>
          <w:rFonts w:ascii="Arial" w:hAnsi="Arial" w:cs="Arial"/>
          <w:b/>
          <w:szCs w:val="24"/>
        </w:rPr>
        <w:t xml:space="preserve">DRAFT </w:t>
      </w:r>
      <w:r w:rsidR="000C7EE7">
        <w:rPr>
          <w:rFonts w:ascii="Arial" w:hAnsi="Arial" w:cs="Arial"/>
          <w:b/>
          <w:szCs w:val="24"/>
        </w:rPr>
        <w:t xml:space="preserve">Policy Recommendation </w:t>
      </w:r>
      <w:r>
        <w:rPr>
          <w:rFonts w:ascii="Arial" w:hAnsi="Arial" w:cs="Arial"/>
          <w:b/>
          <w:szCs w:val="24"/>
        </w:rPr>
        <w:t>21</w:t>
      </w:r>
      <w:r w:rsidR="000C7EE7">
        <w:rPr>
          <w:rFonts w:ascii="Arial" w:hAnsi="Arial" w:cs="Arial"/>
          <w:b/>
          <w:szCs w:val="24"/>
        </w:rPr>
        <w:t>-11</w:t>
      </w:r>
    </w:p>
    <w:p w14:paraId="13AC484A" w14:textId="77777777" w:rsidR="00CB50ED" w:rsidRDefault="00CB50ED">
      <w:pPr>
        <w:pStyle w:val="Body"/>
        <w:jc w:val="center"/>
        <w:rPr>
          <w:rFonts w:ascii="Times New Roman" w:hAnsi="Times New Roman"/>
          <w:b/>
          <w:szCs w:val="24"/>
        </w:rPr>
      </w:pPr>
    </w:p>
    <w:p w14:paraId="13AC484B" w14:textId="77777777" w:rsidR="00CB50ED" w:rsidRDefault="000C7EE7">
      <w:pPr>
        <w:pStyle w:val="Standard"/>
        <w:jc w:val="center"/>
      </w:pPr>
      <w:r>
        <w:rPr>
          <w:rFonts w:ascii="Arial" w:hAnsi="Arial" w:cs="Arial"/>
          <w:b/>
          <w:sz w:val="24"/>
        </w:rPr>
        <w:t>Reliability of Lifeline Services</w:t>
      </w:r>
    </w:p>
    <w:p w14:paraId="13AC484C" w14:textId="77777777" w:rsidR="00CB50ED" w:rsidRDefault="00CB50ED">
      <w:pPr>
        <w:pStyle w:val="Body"/>
        <w:jc w:val="center"/>
        <w:rPr>
          <w:rFonts w:ascii="Times New Roman" w:hAnsi="Times New Roman"/>
          <w:b/>
          <w:szCs w:val="24"/>
        </w:rPr>
      </w:pPr>
    </w:p>
    <w:p w14:paraId="13AC484D" w14:textId="77777777" w:rsidR="00CB50ED" w:rsidRDefault="00CB50ED">
      <w:pPr>
        <w:pStyle w:val="Body"/>
        <w:rPr>
          <w:rFonts w:ascii="Times New Roman" w:hAnsi="Times New Roman"/>
          <w:b/>
          <w:szCs w:val="24"/>
        </w:rPr>
      </w:pPr>
    </w:p>
    <w:p w14:paraId="13AC484E" w14:textId="6234FF3B" w:rsidR="00CB50ED" w:rsidRDefault="000C7EE7">
      <w:pPr>
        <w:pStyle w:val="Body"/>
      </w:pPr>
      <w:r>
        <w:rPr>
          <w:rFonts w:ascii="Arial" w:hAnsi="Arial" w:cs="Arial"/>
          <w:b/>
          <w:szCs w:val="24"/>
        </w:rPr>
        <w:t xml:space="preserve">Policy Recommendation </w:t>
      </w:r>
      <w:r w:rsidR="009447E3">
        <w:rPr>
          <w:rFonts w:ascii="Arial" w:hAnsi="Arial" w:cs="Arial"/>
          <w:b/>
          <w:szCs w:val="24"/>
        </w:rPr>
        <w:t>21</w:t>
      </w:r>
      <w:r>
        <w:rPr>
          <w:rFonts w:ascii="Arial" w:hAnsi="Arial" w:cs="Arial"/>
          <w:b/>
          <w:szCs w:val="24"/>
        </w:rPr>
        <w:t>-11</w:t>
      </w:r>
    </w:p>
    <w:p w14:paraId="13AC484F" w14:textId="77777777" w:rsidR="00CB50ED" w:rsidRDefault="00CB50ED">
      <w:pPr>
        <w:pStyle w:val="Body"/>
        <w:rPr>
          <w:rFonts w:ascii="Times New Roman" w:hAnsi="Times New Roman"/>
          <w:b/>
          <w:szCs w:val="24"/>
        </w:rPr>
      </w:pPr>
    </w:p>
    <w:p w14:paraId="13AC4850" w14:textId="77777777" w:rsidR="00CB50ED" w:rsidRDefault="000C7EE7">
      <w:pPr>
        <w:pStyle w:val="Standard"/>
        <w:spacing w:after="0" w:line="360" w:lineRule="auto"/>
        <w:jc w:val="both"/>
      </w:pPr>
      <w:r>
        <w:rPr>
          <w:rFonts w:ascii="Times New Roman" w:eastAsia="MS Mincho" w:hAnsi="Times New Roman"/>
          <w:szCs w:val="22"/>
          <w:lang w:eastAsia="ja-JP"/>
        </w:rPr>
        <w:t xml:space="preserve">WSSPC encourages utility regulatory bodies and </w:t>
      </w:r>
      <w:r>
        <w:rPr>
          <w:rFonts w:ascii="Times New Roman" w:eastAsia="MS Mincho" w:hAnsi="Times New Roman"/>
          <w:color w:val="00000A"/>
          <w:szCs w:val="22"/>
          <w:lang w:eastAsia="ja-JP"/>
        </w:rPr>
        <w:t>utility service</w:t>
      </w:r>
      <w:r>
        <w:rPr>
          <w:rFonts w:ascii="Times New Roman" w:eastAsia="MS Mincho" w:hAnsi="Times New Roman"/>
          <w:szCs w:val="22"/>
          <w:lang w:eastAsia="ja-JP"/>
        </w:rPr>
        <w:t xml:space="preserve"> providers to implement current best practices and seismic design in the construction and maintenance of their infrastructure </w:t>
      </w:r>
      <w:r>
        <w:rPr>
          <w:rFonts w:ascii="Times New Roman" w:eastAsia="MS Mincho" w:hAnsi="Times New Roman"/>
          <w:color w:val="00000A"/>
          <w:szCs w:val="22"/>
          <w:lang w:eastAsia="ja-JP"/>
        </w:rPr>
        <w:t xml:space="preserve">in order to assure satisfactory performance in future earthquakes. </w:t>
      </w:r>
      <w:r>
        <w:rPr>
          <w:rFonts w:ascii="Times New Roman" w:eastAsia="MS Mincho" w:hAnsi="Times New Roman"/>
          <w:color w:val="auto"/>
          <w:szCs w:val="22"/>
          <w:lang w:eastAsia="ja-JP"/>
        </w:rPr>
        <w:t>WSSPC also encourages the establishment of collaborative bodies, such as lifeline councils, to coordinate practices and examine interdependencies.</w:t>
      </w:r>
    </w:p>
    <w:p w14:paraId="13AC4851" w14:textId="77777777" w:rsidR="00CB50ED" w:rsidRDefault="00CB50ED">
      <w:pPr>
        <w:pStyle w:val="Standard"/>
        <w:jc w:val="both"/>
        <w:rPr>
          <w:rFonts w:ascii="Times New Roman" w:eastAsia="MS Mincho" w:hAnsi="Times New Roman"/>
          <w:sz w:val="24"/>
          <w:lang w:eastAsia="ja-JP"/>
        </w:rPr>
      </w:pPr>
    </w:p>
    <w:p w14:paraId="13AC4852" w14:textId="77777777" w:rsidR="00CB50ED" w:rsidRDefault="000C7EE7">
      <w:pPr>
        <w:pStyle w:val="Standard"/>
      </w:pPr>
      <w:r>
        <w:rPr>
          <w:rFonts w:ascii="Arial" w:hAnsi="Arial" w:cs="Arial"/>
          <w:b/>
          <w:color w:val="00000A"/>
          <w:sz w:val="24"/>
        </w:rPr>
        <w:t>Executive Summary</w:t>
      </w:r>
    </w:p>
    <w:p w14:paraId="13AC4853" w14:textId="77777777" w:rsidR="00CB50ED" w:rsidRDefault="000C7EE7">
      <w:pPr>
        <w:pStyle w:val="Standard"/>
        <w:spacing w:before="240" w:line="360" w:lineRule="auto"/>
        <w:jc w:val="both"/>
      </w:pPr>
      <w:r>
        <w:rPr>
          <w:rFonts w:ascii="Times New Roman" w:hAnsi="Times New Roman"/>
          <w:color w:val="00000A"/>
          <w:szCs w:val="22"/>
        </w:rPr>
        <w:t>Lifelines form a critical segment of the nation’s infrastructure.  Disruption can significantly affect the resiliency of a community.  Use of existing guidelines as well as development of new guidelines can serve as an effective method of identifying and reducing risk.</w:t>
      </w:r>
    </w:p>
    <w:p w14:paraId="13AC4854" w14:textId="77777777" w:rsidR="00CB50ED" w:rsidRDefault="00CB50ED">
      <w:pPr>
        <w:pStyle w:val="Standard"/>
        <w:spacing w:before="240" w:after="0"/>
        <w:ind w:left="360"/>
        <w:rPr>
          <w:rFonts w:ascii="Times New Roman" w:hAnsi="Times New Roman"/>
          <w:b/>
          <w:color w:val="00000A"/>
          <w:szCs w:val="22"/>
        </w:rPr>
      </w:pPr>
    </w:p>
    <w:p w14:paraId="13AC4855" w14:textId="77777777" w:rsidR="00CB50ED" w:rsidRDefault="00CB50ED">
      <w:pPr>
        <w:pStyle w:val="Standard"/>
        <w:spacing w:before="240"/>
        <w:rPr>
          <w:rFonts w:ascii="Arial" w:hAnsi="Arial" w:cs="Arial"/>
          <w:b/>
          <w:color w:val="00000A"/>
          <w:szCs w:val="22"/>
        </w:rPr>
      </w:pPr>
    </w:p>
    <w:p w14:paraId="13AC4856" w14:textId="77777777" w:rsidR="00CB50ED" w:rsidRDefault="00CB50ED">
      <w:pPr>
        <w:pStyle w:val="Standard"/>
        <w:spacing w:before="240"/>
        <w:rPr>
          <w:rFonts w:ascii="Arial" w:hAnsi="Arial" w:cs="Arial"/>
          <w:b/>
          <w:color w:val="00000A"/>
          <w:sz w:val="24"/>
        </w:rPr>
      </w:pPr>
    </w:p>
    <w:p w14:paraId="13AC4857" w14:textId="77777777" w:rsidR="00CB50ED" w:rsidRDefault="00CB50ED">
      <w:pPr>
        <w:pStyle w:val="Standard"/>
        <w:spacing w:before="240"/>
        <w:rPr>
          <w:rFonts w:ascii="Arial" w:hAnsi="Arial" w:cs="Arial"/>
          <w:b/>
          <w:color w:val="00000A"/>
          <w:sz w:val="24"/>
        </w:rPr>
      </w:pPr>
    </w:p>
    <w:p w14:paraId="13AC4858" w14:textId="77777777" w:rsidR="00CB50ED" w:rsidRDefault="00CB50ED">
      <w:pPr>
        <w:pStyle w:val="Standard"/>
        <w:spacing w:before="240"/>
        <w:rPr>
          <w:rFonts w:ascii="Arial" w:hAnsi="Arial" w:cs="Arial"/>
          <w:b/>
          <w:color w:val="00000A"/>
          <w:sz w:val="24"/>
        </w:rPr>
      </w:pPr>
    </w:p>
    <w:p w14:paraId="13AC4859" w14:textId="77777777" w:rsidR="00CB50ED" w:rsidRDefault="00CB50ED">
      <w:pPr>
        <w:pStyle w:val="Standard"/>
        <w:spacing w:before="240"/>
        <w:rPr>
          <w:rFonts w:ascii="Arial" w:hAnsi="Arial" w:cs="Arial"/>
          <w:b/>
          <w:color w:val="00000A"/>
          <w:sz w:val="24"/>
        </w:rPr>
      </w:pPr>
    </w:p>
    <w:p w14:paraId="13AC485A" w14:textId="77777777" w:rsidR="00CB50ED" w:rsidRDefault="00CB50ED">
      <w:pPr>
        <w:pStyle w:val="Standard"/>
        <w:spacing w:before="240"/>
        <w:rPr>
          <w:rFonts w:ascii="Arial" w:hAnsi="Arial" w:cs="Arial"/>
          <w:b/>
          <w:color w:val="00000A"/>
          <w:sz w:val="24"/>
        </w:rPr>
      </w:pPr>
    </w:p>
    <w:p w14:paraId="13AC485B" w14:textId="77777777" w:rsidR="00CB50ED" w:rsidRDefault="00CB50ED">
      <w:pPr>
        <w:pStyle w:val="Standard"/>
        <w:spacing w:before="240"/>
        <w:rPr>
          <w:rFonts w:ascii="Arial" w:hAnsi="Arial" w:cs="Arial"/>
          <w:b/>
          <w:color w:val="00000A"/>
          <w:sz w:val="24"/>
        </w:rPr>
      </w:pPr>
    </w:p>
    <w:p w14:paraId="13AC485C" w14:textId="77777777" w:rsidR="00CB50ED" w:rsidRDefault="00CB50ED">
      <w:pPr>
        <w:pStyle w:val="Standard"/>
        <w:spacing w:before="240"/>
        <w:rPr>
          <w:rFonts w:ascii="Arial" w:hAnsi="Arial" w:cs="Arial"/>
          <w:b/>
          <w:color w:val="00000A"/>
          <w:sz w:val="24"/>
        </w:rPr>
      </w:pPr>
    </w:p>
    <w:p w14:paraId="13AC485D" w14:textId="77777777" w:rsidR="00CB50ED" w:rsidRDefault="00CB50ED">
      <w:pPr>
        <w:pStyle w:val="Standard"/>
        <w:spacing w:before="240"/>
        <w:rPr>
          <w:rFonts w:ascii="Arial" w:hAnsi="Arial" w:cs="Arial"/>
          <w:b/>
          <w:color w:val="00000A"/>
          <w:sz w:val="24"/>
        </w:rPr>
      </w:pPr>
    </w:p>
    <w:p w14:paraId="13AC485E" w14:textId="77777777" w:rsidR="00CB50ED" w:rsidRDefault="00CB50ED">
      <w:pPr>
        <w:pStyle w:val="Standard"/>
        <w:spacing w:before="240"/>
        <w:rPr>
          <w:rFonts w:ascii="Arial" w:hAnsi="Arial" w:cs="Arial"/>
          <w:b/>
          <w:color w:val="00000A"/>
          <w:sz w:val="24"/>
        </w:rPr>
      </w:pPr>
    </w:p>
    <w:p w14:paraId="13AC485F" w14:textId="77777777" w:rsidR="00CB50ED" w:rsidRDefault="000C7EE7">
      <w:pPr>
        <w:pStyle w:val="Standard"/>
      </w:pPr>
      <w:r>
        <w:rPr>
          <w:rFonts w:ascii="Arial" w:hAnsi="Arial" w:cs="Arial"/>
          <w:b/>
          <w:color w:val="00000A"/>
          <w:sz w:val="24"/>
        </w:rPr>
        <w:t>Background</w:t>
      </w:r>
    </w:p>
    <w:p w14:paraId="13AC4860" w14:textId="77777777" w:rsidR="00CB50ED" w:rsidRDefault="000C7EE7">
      <w:pPr>
        <w:pStyle w:val="Standard"/>
        <w:spacing w:before="240" w:line="360" w:lineRule="auto"/>
        <w:jc w:val="both"/>
      </w:pPr>
      <w:r>
        <w:rPr>
          <w:rFonts w:ascii="Times New Roman" w:hAnsi="Times New Roman"/>
          <w:szCs w:val="22"/>
        </w:rPr>
        <w:lastRenderedPageBreak/>
        <w:t xml:space="preserve">Lifeline infrastructure including, but not limited to, electricity, gas, telecommunications, water, and </w:t>
      </w:r>
      <w:proofErr w:type="gramStart"/>
      <w:r>
        <w:rPr>
          <w:rFonts w:ascii="Times New Roman" w:hAnsi="Times New Roman"/>
          <w:szCs w:val="22"/>
        </w:rPr>
        <w:t>waste water</w:t>
      </w:r>
      <w:proofErr w:type="gramEnd"/>
      <w:r>
        <w:rPr>
          <w:rFonts w:ascii="Times New Roman" w:hAnsi="Times New Roman"/>
          <w:szCs w:val="22"/>
        </w:rPr>
        <w:t xml:space="preserve"> are critical to a community’s wellbeing. Some lifelines are still being constructed using old methods and technologies that are known to be inadequate by seismic experts.</w:t>
      </w:r>
    </w:p>
    <w:p w14:paraId="13AC4861" w14:textId="77777777" w:rsidR="00CB50ED" w:rsidRDefault="000C7EE7">
      <w:pPr>
        <w:pStyle w:val="Standard"/>
        <w:spacing w:line="360" w:lineRule="auto"/>
        <w:jc w:val="both"/>
      </w:pPr>
      <w:r>
        <w:rPr>
          <w:rFonts w:ascii="Times New Roman" w:hAnsi="Times New Roman"/>
          <w:szCs w:val="22"/>
        </w:rPr>
        <w:t>Much of the nation’s existing infrastructure has not been designed to perform satisfactorily under extreme conditions produced by major earthquakes, including severe ground shaking, earthquake-induced tsunamis, fault rupture, large landslides and liquefaction. Lifelines should be designed to provide reliable performance under expected earthquake loading conditions to ensure that the region can withstand future earthquake damage without crippling consequences. Critical infrastructure requires system and component vulnerability studies in order to understand potential damages and operational consequences. Mitigation of infrastructure with a high likelihood of failure with extreme loss-of-service consequences should be addressed. This policy recommendation is a reinvigorated effort to follow through on resolving infrastructure liabilities originally identified in FEMA 271 “Plan for Developing and Adopting Seismic Design Guidelines and Standards for Lifelines” (1995).</w:t>
      </w:r>
    </w:p>
    <w:p w14:paraId="13AC4862" w14:textId="77777777" w:rsidR="00CB50ED" w:rsidRDefault="00CB50ED">
      <w:pPr>
        <w:pStyle w:val="Standard"/>
        <w:jc w:val="both"/>
        <w:rPr>
          <w:rFonts w:ascii="Times New Roman" w:hAnsi="Times New Roman"/>
          <w:szCs w:val="22"/>
        </w:rPr>
      </w:pPr>
    </w:p>
    <w:p w14:paraId="13AC486D" w14:textId="77777777" w:rsidR="00CB50ED" w:rsidRDefault="00CB50ED">
      <w:pPr>
        <w:pStyle w:val="Standard"/>
        <w:jc w:val="both"/>
        <w:rPr>
          <w:rFonts w:ascii="Arial" w:hAnsi="Arial" w:cs="Arial"/>
          <w:b/>
          <w:bCs/>
          <w:szCs w:val="22"/>
        </w:rPr>
      </w:pPr>
    </w:p>
    <w:p w14:paraId="13AC486E" w14:textId="77777777" w:rsidR="00CB50ED" w:rsidRDefault="000C7EE7">
      <w:pPr>
        <w:pStyle w:val="Standard"/>
        <w:spacing w:after="0" w:line="360" w:lineRule="auto"/>
        <w:jc w:val="both"/>
      </w:pPr>
      <w:r>
        <w:rPr>
          <w:rFonts w:ascii="Arial" w:hAnsi="Arial" w:cs="Arial"/>
          <w:b/>
          <w:bCs/>
          <w:sz w:val="24"/>
        </w:rPr>
        <w:t>History</w:t>
      </w:r>
      <w:r>
        <w:rPr>
          <w:rFonts w:ascii="Times New Roman" w:hAnsi="Times New Roman"/>
          <w:b/>
          <w:bCs/>
          <w:sz w:val="24"/>
        </w:rPr>
        <w:t xml:space="preserve"> </w:t>
      </w:r>
    </w:p>
    <w:p w14:paraId="13AC486F" w14:textId="77777777" w:rsidR="00CB50ED" w:rsidRDefault="000C7EE7">
      <w:pPr>
        <w:pStyle w:val="Standard"/>
        <w:numPr>
          <w:ilvl w:val="0"/>
          <w:numId w:val="1"/>
        </w:numPr>
        <w:spacing w:after="0" w:line="360" w:lineRule="auto"/>
        <w:jc w:val="both"/>
      </w:pPr>
      <w:r>
        <w:rPr>
          <w:rFonts w:ascii="Times New Roman" w:hAnsi="Times New Roman"/>
          <w:bCs/>
          <w:szCs w:val="22"/>
        </w:rPr>
        <w:t>Policy Recommendation 16-11 was re-adopted as Policy Recommendation 19-11 by unanimous vote of the WSSPC membership at the Annual Business Meeting April 26, 2019.</w:t>
      </w:r>
    </w:p>
    <w:p w14:paraId="13AC4870" w14:textId="77777777" w:rsidR="00CB50ED" w:rsidRDefault="000C7EE7">
      <w:pPr>
        <w:pStyle w:val="Standard"/>
        <w:numPr>
          <w:ilvl w:val="0"/>
          <w:numId w:val="1"/>
        </w:numPr>
        <w:spacing w:after="0" w:line="360" w:lineRule="auto"/>
        <w:jc w:val="both"/>
      </w:pPr>
      <w:r>
        <w:rPr>
          <w:rFonts w:ascii="Times New Roman" w:hAnsi="Times New Roman"/>
          <w:bCs/>
          <w:szCs w:val="22"/>
        </w:rPr>
        <w:t xml:space="preserve">Policy Recommendation 13-11 was re-adopted as Policy Recommendation 16-11 by unanimous vote of the WSSPC membership at the Annual Business Meeting May 6, 2016. </w:t>
      </w:r>
    </w:p>
    <w:p w14:paraId="13AC4871" w14:textId="77777777" w:rsidR="00CB50ED" w:rsidRDefault="000C7EE7">
      <w:pPr>
        <w:pStyle w:val="Standard"/>
        <w:numPr>
          <w:ilvl w:val="0"/>
          <w:numId w:val="1"/>
        </w:numPr>
        <w:spacing w:after="0" w:line="360" w:lineRule="auto"/>
        <w:jc w:val="both"/>
      </w:pPr>
      <w:r>
        <w:rPr>
          <w:rFonts w:ascii="Times New Roman" w:hAnsi="Times New Roman"/>
          <w:bCs/>
          <w:szCs w:val="22"/>
        </w:rPr>
        <w:t xml:space="preserve">Policy Recommendation 19-11 was first adopted as Policy Recommendation 13-11 which was approved unanimously by vote of the WSSPC membership at the Annual Business Meeting May 3, 2013. </w:t>
      </w:r>
    </w:p>
    <w:p w14:paraId="13AC4872" w14:textId="77777777" w:rsidR="00CB50ED" w:rsidRDefault="00CB50ED">
      <w:pPr>
        <w:pStyle w:val="Standard"/>
        <w:spacing w:after="0" w:line="360" w:lineRule="auto"/>
        <w:rPr>
          <w:rFonts w:ascii="Times New Roman" w:hAnsi="Times New Roman"/>
          <w:b/>
          <w:bCs/>
          <w:szCs w:val="22"/>
          <w:u w:val="single"/>
        </w:rPr>
      </w:pPr>
    </w:p>
    <w:p w14:paraId="13AC4873" w14:textId="77777777" w:rsidR="00CB50ED" w:rsidRDefault="00CB50ED">
      <w:pPr>
        <w:pStyle w:val="Standard"/>
        <w:rPr>
          <w:rFonts w:ascii="Times New Roman" w:hAnsi="Times New Roman"/>
          <w:b/>
          <w:bCs/>
          <w:sz w:val="24"/>
        </w:rPr>
      </w:pPr>
    </w:p>
    <w:p w14:paraId="13AC4874" w14:textId="77777777" w:rsidR="00CB50ED" w:rsidRDefault="00CB50ED">
      <w:pPr>
        <w:pStyle w:val="Standard"/>
      </w:pPr>
    </w:p>
    <w:sectPr w:rsidR="00CB50ED">
      <w:footerReference w:type="default" r:id="rId7"/>
      <w:pgSz w:w="12240" w:h="15840"/>
      <w:pgMar w:top="1440" w:right="1728"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C4877" w14:textId="77777777" w:rsidR="003635FD" w:rsidRDefault="000C7EE7">
      <w:pPr>
        <w:spacing w:after="0" w:line="240" w:lineRule="auto"/>
      </w:pPr>
      <w:r>
        <w:separator/>
      </w:r>
    </w:p>
  </w:endnote>
  <w:endnote w:type="continuationSeparator" w:id="0">
    <w:p w14:paraId="13AC4878" w14:textId="77777777" w:rsidR="003635FD" w:rsidRDefault="000C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ヒラギノ角ゴ Pro W3">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C4879" w14:textId="345FF649" w:rsidR="001E628D" w:rsidRDefault="000C7EE7">
    <w:pPr>
      <w:pStyle w:val="Footer"/>
    </w:pPr>
    <w:r>
      <w:rPr>
        <w:rFonts w:ascii="Arial" w:hAnsi="Arial" w:cs="Arial"/>
        <w:sz w:val="20"/>
        <w:szCs w:val="20"/>
      </w:rPr>
      <w:t xml:space="preserve"> PR </w:t>
    </w:r>
    <w:r w:rsidR="00836E52">
      <w:rPr>
        <w:rFonts w:ascii="Arial" w:hAnsi="Arial" w:cs="Arial"/>
        <w:sz w:val="20"/>
        <w:szCs w:val="20"/>
      </w:rPr>
      <w:t>21</w:t>
    </w:r>
    <w:r>
      <w:rPr>
        <w:rFonts w:ascii="Arial" w:hAnsi="Arial" w:cs="Arial"/>
        <w:sz w:val="20"/>
        <w:szCs w:val="20"/>
      </w:rPr>
      <w:t>-</w:t>
    </w:r>
    <w:proofErr w:type="gramStart"/>
    <w:r>
      <w:rPr>
        <w:rFonts w:ascii="Arial" w:hAnsi="Arial" w:cs="Arial"/>
        <w:sz w:val="20"/>
        <w:szCs w:val="20"/>
      </w:rPr>
      <w:t xml:space="preserve">11  </w:t>
    </w:r>
    <w:r>
      <w:rPr>
        <w:rFonts w:ascii="Arial" w:hAnsi="Arial" w:cs="Arial"/>
        <w:sz w:val="20"/>
        <w:szCs w:val="20"/>
      </w:rPr>
      <w:tab/>
    </w:r>
    <w:proofErr w:type="gramEnd"/>
    <w:r>
      <w:rPr>
        <w:rFonts w:ascii="Arial" w:hAnsi="Arial" w:cs="Arial"/>
        <w:sz w:val="20"/>
        <w:szCs w:val="20"/>
      </w:rPr>
      <w:tab/>
      <w:t xml:space="preserve">Page </w:t>
    </w:r>
    <w:r>
      <w:fldChar w:fldCharType="begin"/>
    </w:r>
    <w:r>
      <w:instrText xml:space="preserve"> PAGE </w:instrText>
    </w:r>
    <w:r>
      <w:fldChar w:fldCharType="separate"/>
    </w:r>
    <w:r>
      <w:rPr>
        <w:noProof/>
      </w:rPr>
      <w:t>3</w:t>
    </w:r>
    <w:r>
      <w:fldChar w:fldCharType="end"/>
    </w:r>
    <w:r>
      <w:rPr>
        <w:rFonts w:ascii="Arial" w:hAnsi="Arial" w:cs="Arial"/>
        <w:sz w:val="20"/>
        <w:szCs w:val="20"/>
      </w:rPr>
      <w:t xml:space="preserve"> of </w:t>
    </w:r>
    <w:fldSimple w:instr=" NUMPAGES ">
      <w:r>
        <w:rPr>
          <w:noProof/>
        </w:rPr>
        <w:t>3</w:t>
      </w:r>
    </w:fldSimple>
    <w:r>
      <w:rPr>
        <w:rFonts w:ascii="Arial" w:hAnsi="Arial" w:cs="Arial"/>
        <w:sz w:val="20"/>
        <w:szCs w:val="20"/>
      </w:rPr>
      <w:t xml:space="preserve">                                                                                                           </w:t>
    </w:r>
  </w:p>
  <w:p w14:paraId="13AC487A" w14:textId="77777777" w:rsidR="001E628D" w:rsidRDefault="0022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C4875" w14:textId="77777777" w:rsidR="003635FD" w:rsidRDefault="000C7EE7">
      <w:pPr>
        <w:spacing w:after="0" w:line="240" w:lineRule="auto"/>
      </w:pPr>
      <w:r>
        <w:rPr>
          <w:color w:val="000000"/>
        </w:rPr>
        <w:separator/>
      </w:r>
    </w:p>
  </w:footnote>
  <w:footnote w:type="continuationSeparator" w:id="0">
    <w:p w14:paraId="13AC4876" w14:textId="77777777" w:rsidR="003635FD" w:rsidRDefault="000C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30096"/>
    <w:multiLevelType w:val="multilevel"/>
    <w:tmpl w:val="5B88F4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ED"/>
    <w:rsid w:val="000C7EE7"/>
    <w:rsid w:val="00291E06"/>
    <w:rsid w:val="003635FD"/>
    <w:rsid w:val="00836E52"/>
    <w:rsid w:val="009447E3"/>
    <w:rsid w:val="00CB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4848"/>
  <w15:docId w15:val="{525CA7FE-5899-4B78-BFAC-25776A01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ヒラギノ角ゴ Pro W3" w:cs="Times New Roman"/>
      <w:color w:val="000000"/>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customStyle="1" w:styleId="Body">
    <w:name w:val="Body"/>
    <w:pPr>
      <w:widowControl/>
      <w:suppressAutoHyphens/>
      <w:spacing w:after="0" w:line="240" w:lineRule="auto"/>
    </w:pPr>
    <w:rPr>
      <w:rFonts w:ascii="Helvetica" w:eastAsia="ヒラギノ角ゴ Pro W3" w:hAnsi="Helvetica" w:cs="Times New Roman"/>
      <w:color w:val="000000"/>
      <w:sz w:val="24"/>
      <w:szCs w:val="20"/>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character" w:customStyle="1" w:styleId="HeaderChar">
    <w:name w:val="Header Char"/>
    <w:basedOn w:val="DefaultParagraphFont"/>
    <w:rPr>
      <w:rFonts w:ascii="Calibri" w:eastAsia="ヒラギノ角ゴ Pro W3" w:hAnsi="Calibri" w:cs="Times New Roman"/>
      <w:color w:val="000000"/>
      <w:szCs w:val="24"/>
    </w:rPr>
  </w:style>
  <w:style w:type="character" w:customStyle="1" w:styleId="FooterChar">
    <w:name w:val="Footer Char"/>
    <w:basedOn w:val="DefaultParagraphFont"/>
    <w:rPr>
      <w:rFonts w:ascii="Calibri" w:eastAsia="ヒラギノ角ゴ Pro W3" w:hAnsi="Calibri" w:cs="Times New Roman"/>
      <w:color w:val="000000"/>
      <w:szCs w:val="24"/>
    </w:rPr>
  </w:style>
  <w:style w:type="character" w:customStyle="1" w:styleId="BalloonTextChar">
    <w:name w:val="Balloon Text Char"/>
    <w:basedOn w:val="DefaultParagraphFont"/>
    <w:rPr>
      <w:rFonts w:ascii="Tahoma" w:eastAsia="ヒラギノ角ゴ Pro W3" w:hAnsi="Tahoma" w:cs="Tahoma"/>
      <w:color w:val="000000"/>
      <w:sz w:val="16"/>
      <w:szCs w:val="1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carolc</dc:creator>
  <cp:lastModifiedBy>Matthew Wall</cp:lastModifiedBy>
  <cp:revision>2</cp:revision>
  <cp:lastPrinted>2019-05-14T16:55:00Z</cp:lastPrinted>
  <dcterms:created xsi:type="dcterms:W3CDTF">2020-04-28T16:43:00Z</dcterms:created>
  <dcterms:modified xsi:type="dcterms:W3CDTF">2020-04-28T16:43:00Z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